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DF" w:rsidRPr="00C70F0A" w:rsidRDefault="00E4720E" w:rsidP="007065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C70F0A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Non-Insured Health Benefits (</w:t>
      </w:r>
      <w:r w:rsidR="00210FDF" w:rsidRPr="00C70F0A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NIHB):</w:t>
      </w:r>
    </w:p>
    <w:p w:rsidR="00902A69" w:rsidRPr="00902A69" w:rsidRDefault="00E4720E" w:rsidP="00A53F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02A6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General Information:  </w:t>
      </w:r>
    </w:p>
    <w:p w:rsidR="00902A69" w:rsidRDefault="00902A69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778B0" w:rsidRDefault="00CF044B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NIHB permits pharmacy to fill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supply.  </w:t>
      </w:r>
      <w:r w:rsidR="00E472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NIHB bases the refilling of prescriptions based on </w:t>
      </w:r>
      <w:proofErr w:type="spellStart"/>
      <w:r w:rsidR="00E4720E">
        <w:rPr>
          <w:rFonts w:ascii="Times New Roman" w:eastAsia="Times New Roman" w:hAnsi="Times New Roman" w:cs="Times New Roman"/>
          <w:sz w:val="24"/>
          <w:szCs w:val="24"/>
          <w:lang w:eastAsia="en-CA"/>
        </w:rPr>
        <w:t>days</w:t>
      </w:r>
      <w:proofErr w:type="spellEnd"/>
      <w:r w:rsidR="00E472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supply.  Patients are required to be </w:t>
      </w:r>
      <w:r w:rsidR="00B602D9">
        <w:rPr>
          <w:rFonts w:ascii="Times New Roman" w:eastAsia="Times New Roman" w:hAnsi="Times New Roman" w:cs="Times New Roman"/>
          <w:sz w:val="24"/>
          <w:szCs w:val="24"/>
          <w:lang w:eastAsia="en-CA"/>
        </w:rPr>
        <w:t>~</w:t>
      </w:r>
      <w:r w:rsidR="00E4720E">
        <w:rPr>
          <w:rFonts w:ascii="Times New Roman" w:eastAsia="Times New Roman" w:hAnsi="Times New Roman" w:cs="Times New Roman"/>
          <w:sz w:val="24"/>
          <w:szCs w:val="24"/>
          <w:lang w:eastAsia="en-CA"/>
        </w:rPr>
        <w:t>80% completed their prescription before pharmacy can bill online or the claim will be rejected. Patients cannot ‘top-up’ on prescription refills.</w:t>
      </w:r>
      <w:r w:rsidR="00A53F5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NIHB imposes limits on the quantities of diabetic test strips than can be filled in a 100 day or 365 day period depending on the medical treatment.  Those on insulin are permitted 5 boxes (500) strips/ 100 days.  Those </w:t>
      </w:r>
      <w:r w:rsidR="00A53F55" w:rsidRPr="00A53F5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managing diabetes with diabetes medication with a high risk of causing low blood sugar will be allowed 400 test strips per 365 days. A client can test once daily. </w:t>
      </w:r>
      <w:r w:rsidR="00A53F55">
        <w:rPr>
          <w:rFonts w:ascii="Times New Roman" w:eastAsia="Times New Roman" w:hAnsi="Times New Roman" w:cs="Times New Roman"/>
          <w:sz w:val="24"/>
          <w:szCs w:val="24"/>
          <w:lang w:eastAsia="en-CA"/>
        </w:rPr>
        <w:t>Those</w:t>
      </w:r>
      <w:r w:rsidR="00A53F55" w:rsidRPr="00A53F5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managing diabetes with diabetes medication with a low risk of causing low blood sugar will be allowe</w:t>
      </w:r>
      <w:r w:rsidR="00A53F5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 200 test strips per 365 days; they </w:t>
      </w:r>
      <w:r w:rsidR="00A53F55" w:rsidRPr="00A53F5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can test three to four times per week. </w:t>
      </w:r>
      <w:r w:rsidR="00A53F5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Those </w:t>
      </w:r>
      <w:r w:rsidR="00A53F55" w:rsidRPr="00A53F55">
        <w:rPr>
          <w:rFonts w:ascii="Times New Roman" w:eastAsia="Times New Roman" w:hAnsi="Times New Roman" w:cs="Times New Roman"/>
          <w:sz w:val="24"/>
          <w:szCs w:val="24"/>
          <w:lang w:eastAsia="en-CA"/>
        </w:rPr>
        <w:t>managing diabetes with diet/lifestyle therapy only (no insulin or diabetes medications) will be allowe</w:t>
      </w:r>
      <w:r w:rsidR="00A53F5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 200 test strips per 365 days &amp; </w:t>
      </w:r>
      <w:r w:rsidR="00A53F55" w:rsidRPr="00A53F55">
        <w:rPr>
          <w:rFonts w:ascii="Times New Roman" w:eastAsia="Times New Roman" w:hAnsi="Times New Roman" w:cs="Times New Roman"/>
          <w:sz w:val="24"/>
          <w:szCs w:val="24"/>
          <w:lang w:eastAsia="en-CA"/>
        </w:rPr>
        <w:t>can test three to four times per week.</w:t>
      </w:r>
    </w:p>
    <w:p w:rsidR="00902A69" w:rsidRDefault="00902A69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2A69" w:rsidRDefault="00902A69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 link to coverage listings:</w:t>
      </w:r>
    </w:p>
    <w:p w:rsidR="00902A69" w:rsidRDefault="00902A69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2A69" w:rsidRDefault="00902A69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history="1">
        <w:r w:rsidRPr="0034492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http://www.hc-sc.gc.ca/fniah-spnia/nihb-ssna/provide-fournir/pharma-pro</w:t>
        </w:r>
        <w:r w:rsidRPr="0034492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d</w:t>
        </w:r>
        <w:r w:rsidRPr="0034492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/med-list/index-eng.php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A53F55" w:rsidRDefault="00A53F55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53F55" w:rsidRDefault="00A53F55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2A69" w:rsidRDefault="00902A69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 wp14:anchorId="34FA4697" wp14:editId="71B70B43">
            <wp:extent cx="6591300" cy="433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666" r="18522"/>
                    <a:stretch/>
                  </pic:blipFill>
                  <pic:spPr bwMode="auto">
                    <a:xfrm>
                      <a:off x="0" y="0"/>
                      <a:ext cx="6597565" cy="4334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F55" w:rsidRDefault="00A53F55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53F55" w:rsidRDefault="00A53F55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61119" w:rsidRDefault="00561119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61119" w:rsidRDefault="00561119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61119" w:rsidRDefault="00561119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61119" w:rsidRDefault="00561119" w:rsidP="00A53F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561119" w:rsidSect="007065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0950"/>
    <w:multiLevelType w:val="multilevel"/>
    <w:tmpl w:val="01C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B0"/>
    <w:rsid w:val="000255B8"/>
    <w:rsid w:val="0006371B"/>
    <w:rsid w:val="001778B0"/>
    <w:rsid w:val="001A62EE"/>
    <w:rsid w:val="001F536B"/>
    <w:rsid w:val="00210FDF"/>
    <w:rsid w:val="00337117"/>
    <w:rsid w:val="0038213A"/>
    <w:rsid w:val="004A0F2C"/>
    <w:rsid w:val="00502C8A"/>
    <w:rsid w:val="00533CBE"/>
    <w:rsid w:val="00561119"/>
    <w:rsid w:val="005E4193"/>
    <w:rsid w:val="00674388"/>
    <w:rsid w:val="00703122"/>
    <w:rsid w:val="00704FE2"/>
    <w:rsid w:val="0070659C"/>
    <w:rsid w:val="007D4521"/>
    <w:rsid w:val="0089382C"/>
    <w:rsid w:val="00902A69"/>
    <w:rsid w:val="0091024B"/>
    <w:rsid w:val="009252B6"/>
    <w:rsid w:val="009F5CCA"/>
    <w:rsid w:val="00A3747F"/>
    <w:rsid w:val="00A457F4"/>
    <w:rsid w:val="00A53F55"/>
    <w:rsid w:val="00B044D7"/>
    <w:rsid w:val="00B41843"/>
    <w:rsid w:val="00B602D9"/>
    <w:rsid w:val="00C70F0A"/>
    <w:rsid w:val="00CF044B"/>
    <w:rsid w:val="00DF31D0"/>
    <w:rsid w:val="00DF669A"/>
    <w:rsid w:val="00E4720E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1778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778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78B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91024B"/>
    <w:rPr>
      <w:b/>
      <w:bCs/>
    </w:rPr>
  </w:style>
  <w:style w:type="character" w:styleId="Emphasis">
    <w:name w:val="Emphasis"/>
    <w:basedOn w:val="DefaultParagraphFont"/>
    <w:uiPriority w:val="20"/>
    <w:qFormat/>
    <w:rsid w:val="009102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4F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1778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778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78B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91024B"/>
    <w:rPr>
      <w:b/>
      <w:bCs/>
    </w:rPr>
  </w:style>
  <w:style w:type="character" w:styleId="Emphasis">
    <w:name w:val="Emphasis"/>
    <w:basedOn w:val="DefaultParagraphFont"/>
    <w:uiPriority w:val="20"/>
    <w:qFormat/>
    <w:rsid w:val="009102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4F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-sc.gc.ca/fniah-spnia/nihb-ssna/provide-fournir/pharma-prod/med-list/index-en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3</cp:revision>
  <dcterms:created xsi:type="dcterms:W3CDTF">2015-11-17T16:37:00Z</dcterms:created>
  <dcterms:modified xsi:type="dcterms:W3CDTF">2015-11-17T16:45:00Z</dcterms:modified>
</cp:coreProperties>
</file>